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32E2" w:rsidRDefault="00F532E2" w:rsidP="00F532E2">
      <w:pPr>
        <w:autoSpaceDE w:val="0"/>
        <w:autoSpaceDN w:val="0"/>
        <w:ind w:firstLine="567"/>
        <w:jc w:val="center"/>
        <w:rPr>
          <w:b/>
          <w:sz w:val="28"/>
          <w:szCs w:val="28"/>
          <w:lang w:val="en-US" w:eastAsia="en-US"/>
        </w:rPr>
      </w:pPr>
      <w:r w:rsidRPr="00F532E2">
        <w:rPr>
          <w:b/>
          <w:sz w:val="28"/>
          <w:szCs w:val="28"/>
          <w:lang w:val="en-US" w:eastAsia="en-US"/>
        </w:rPr>
        <w:t xml:space="preserve">Fanning </w:t>
      </w:r>
      <w:proofErr w:type="spellStart"/>
      <w:r w:rsidRPr="00F532E2">
        <w:rPr>
          <w:b/>
          <w:sz w:val="28"/>
          <w:szCs w:val="28"/>
          <w:lang w:val="en-US" w:eastAsia="en-US"/>
        </w:rPr>
        <w:t>maqsad</w:t>
      </w:r>
      <w:proofErr w:type="spellEnd"/>
      <w:r w:rsidRPr="00F532E2">
        <w:rPr>
          <w:b/>
          <w:sz w:val="28"/>
          <w:szCs w:val="28"/>
          <w:lang w:val="en-US" w:eastAsia="en-US"/>
        </w:rPr>
        <w:t xml:space="preserve"> </w:t>
      </w:r>
      <w:proofErr w:type="spellStart"/>
      <w:proofErr w:type="gramStart"/>
      <w:r w:rsidRPr="00F532E2">
        <w:rPr>
          <w:b/>
          <w:sz w:val="28"/>
          <w:szCs w:val="28"/>
          <w:lang w:val="en-US" w:eastAsia="en-US"/>
        </w:rPr>
        <w:t>va</w:t>
      </w:r>
      <w:proofErr w:type="spellEnd"/>
      <w:proofErr w:type="gramEnd"/>
      <w:r w:rsidRPr="00F532E2">
        <w:rPr>
          <w:b/>
          <w:sz w:val="28"/>
          <w:szCs w:val="28"/>
          <w:lang w:val="en-US" w:eastAsia="en-US"/>
        </w:rPr>
        <w:t xml:space="preserve"> </w:t>
      </w:r>
      <w:proofErr w:type="spellStart"/>
      <w:r w:rsidRPr="00F532E2">
        <w:rPr>
          <w:b/>
          <w:sz w:val="28"/>
          <w:szCs w:val="28"/>
          <w:lang w:val="en-US" w:eastAsia="en-US"/>
        </w:rPr>
        <w:t>vazifalari</w:t>
      </w:r>
      <w:proofErr w:type="spellEnd"/>
    </w:p>
    <w:p w:rsidR="00F532E2" w:rsidRPr="00F532E2" w:rsidRDefault="00F532E2" w:rsidP="00F532E2">
      <w:pPr>
        <w:autoSpaceDE w:val="0"/>
        <w:autoSpaceDN w:val="0"/>
        <w:ind w:firstLine="567"/>
        <w:jc w:val="center"/>
        <w:rPr>
          <w:b/>
          <w:sz w:val="28"/>
          <w:szCs w:val="28"/>
          <w:lang w:val="en-US" w:eastAsia="en-US"/>
        </w:rPr>
      </w:pPr>
    </w:p>
    <w:p w:rsidR="00F532E2" w:rsidRDefault="00F532E2" w:rsidP="00F532E2">
      <w:pPr>
        <w:autoSpaceDE w:val="0"/>
        <w:autoSpaceDN w:val="0"/>
        <w:ind w:firstLine="567"/>
        <w:jc w:val="both"/>
        <w:rPr>
          <w:sz w:val="28"/>
          <w:szCs w:val="28"/>
          <w:lang w:val="en-US"/>
        </w:rPr>
      </w:pPr>
      <w:r w:rsidRPr="003166EC">
        <w:rPr>
          <w:sz w:val="28"/>
          <w:szCs w:val="28"/>
          <w:lang w:val="uz-Cyrl-UZ" w:eastAsia="en-US"/>
        </w:rPr>
        <w:t>“Ma’muriy huquq” fani</w:t>
      </w:r>
      <w:proofErr w:type="spellStart"/>
      <w:r>
        <w:rPr>
          <w:sz w:val="28"/>
          <w:szCs w:val="28"/>
          <w:lang w:val="en-US" w:eastAsia="en-US"/>
        </w:rPr>
        <w:t>ning</w:t>
      </w:r>
      <w:proofErr w:type="spellEnd"/>
      <w:r>
        <w:rPr>
          <w:sz w:val="28"/>
          <w:szCs w:val="28"/>
          <w:lang w:val="en-US" w:eastAsia="en-US"/>
        </w:rPr>
        <w:t xml:space="preserve"> </w:t>
      </w:r>
      <w:proofErr w:type="spellStart"/>
      <w:r>
        <w:rPr>
          <w:sz w:val="28"/>
          <w:szCs w:val="28"/>
          <w:lang w:val="en-US" w:eastAsia="en-US"/>
        </w:rPr>
        <w:t>maqsadi</w:t>
      </w:r>
      <w:proofErr w:type="spellEnd"/>
      <w:r>
        <w:rPr>
          <w:sz w:val="28"/>
          <w:szCs w:val="28"/>
          <w:lang w:val="en-US" w:eastAsia="en-US"/>
        </w:rPr>
        <w:t xml:space="preserve"> </w:t>
      </w:r>
      <w:r w:rsidRPr="003166EC">
        <w:rPr>
          <w:sz w:val="28"/>
          <w:szCs w:val="28"/>
          <w:lang w:val="uz-Cyrl-UZ" w:eastAsia="en-US"/>
        </w:rPr>
        <w:t>nazariy bilimlar, amaliy ko’nikmalalar</w:t>
      </w:r>
      <w:r>
        <w:rPr>
          <w:sz w:val="28"/>
          <w:szCs w:val="28"/>
          <w:lang w:val="uz-Cyrl-UZ" w:eastAsia="en-US"/>
        </w:rPr>
        <w:t>,</w:t>
      </w:r>
      <w:r w:rsidRPr="003166EC">
        <w:rPr>
          <w:sz w:val="28"/>
          <w:szCs w:val="28"/>
          <w:lang w:val="uz-Cyrl-UZ"/>
        </w:rPr>
        <w:t xml:space="preserve"> ma'muriy huquqbuzarlik va javobgarlik asoslari, ma'muriy javobgarlikni qo’llash tartibi, ma'muriy javobgarlikni qo’llovchi organlar, ma'muriy jazo turlari va ma'muriy javobgarlik ishlarini yuritish tartibi </w:t>
      </w:r>
      <w:proofErr w:type="spellStart"/>
      <w:r>
        <w:rPr>
          <w:sz w:val="28"/>
          <w:szCs w:val="28"/>
          <w:lang w:val="en-US"/>
        </w:rPr>
        <w:t>haqida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talabalarda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muayyan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jko`nikma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va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malakalarni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shakllantirishdan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iborat</w:t>
      </w:r>
      <w:proofErr w:type="spellEnd"/>
      <w:r>
        <w:rPr>
          <w:sz w:val="28"/>
          <w:szCs w:val="28"/>
          <w:lang w:val="en-US"/>
        </w:rPr>
        <w:t>.</w:t>
      </w:r>
      <w:bookmarkStart w:id="0" w:name="_GoBack"/>
      <w:bookmarkEnd w:id="0"/>
    </w:p>
    <w:p w:rsidR="00F532E2" w:rsidRPr="003166EC" w:rsidRDefault="00F532E2" w:rsidP="00F532E2">
      <w:pPr>
        <w:ind w:firstLine="567"/>
        <w:jc w:val="both"/>
        <w:rPr>
          <w:rFonts w:eastAsia="Batang"/>
          <w:sz w:val="28"/>
          <w:szCs w:val="28"/>
          <w:lang w:val="uz-Cyrl-UZ" w:eastAsia="x-none"/>
        </w:rPr>
      </w:pPr>
      <w:r w:rsidRPr="003166EC">
        <w:rPr>
          <w:rFonts w:eastAsia="Batang"/>
          <w:sz w:val="28"/>
          <w:szCs w:val="28"/>
          <w:lang w:val="uz-Cyrl-UZ" w:eastAsia="x-none"/>
        </w:rPr>
        <w:t>Ma’muriy huquq fani bo’yicha talabalarning bilim, ko’nikma va malakalariga qo’ydagi talablar qo’yiladi.</w:t>
      </w:r>
    </w:p>
    <w:p w:rsidR="00F532E2" w:rsidRPr="003166EC" w:rsidRDefault="00F532E2" w:rsidP="00F532E2">
      <w:pPr>
        <w:ind w:firstLine="567"/>
        <w:jc w:val="both"/>
        <w:rPr>
          <w:rFonts w:eastAsia="Batang"/>
          <w:b/>
          <w:i/>
          <w:sz w:val="28"/>
          <w:szCs w:val="28"/>
          <w:lang w:val="uz-Cyrl-UZ" w:eastAsia="x-none"/>
        </w:rPr>
      </w:pPr>
      <w:r w:rsidRPr="003166EC">
        <w:rPr>
          <w:rFonts w:eastAsia="Batang"/>
          <w:sz w:val="28"/>
          <w:szCs w:val="28"/>
          <w:lang w:val="uz-Cyrl-UZ" w:eastAsia="x-none"/>
        </w:rPr>
        <w:t xml:space="preserve"> </w:t>
      </w:r>
      <w:r w:rsidRPr="003166EC">
        <w:rPr>
          <w:rFonts w:eastAsia="Batang"/>
          <w:b/>
          <w:i/>
          <w:sz w:val="28"/>
          <w:szCs w:val="28"/>
          <w:lang w:val="uz-Cyrl-UZ" w:eastAsia="x-none"/>
        </w:rPr>
        <w:t>Talaba:</w:t>
      </w:r>
    </w:p>
    <w:p w:rsidR="00F532E2" w:rsidRPr="003166EC" w:rsidRDefault="00F532E2" w:rsidP="00F532E2">
      <w:pPr>
        <w:numPr>
          <w:ilvl w:val="0"/>
          <w:numId w:val="1"/>
        </w:numPr>
        <w:shd w:val="clear" w:color="auto" w:fill="FFFFFF"/>
        <w:tabs>
          <w:tab w:val="left" w:pos="851"/>
        </w:tabs>
        <w:spacing w:line="276" w:lineRule="auto"/>
        <w:ind w:left="0" w:firstLine="567"/>
        <w:contextualSpacing/>
        <w:jc w:val="both"/>
        <w:rPr>
          <w:bCs/>
          <w:sz w:val="28"/>
          <w:szCs w:val="28"/>
          <w:lang w:val="uz-Cyrl-UZ" w:eastAsia="x-none"/>
        </w:rPr>
      </w:pPr>
      <w:r w:rsidRPr="003166EC">
        <w:rPr>
          <w:sz w:val="28"/>
          <w:szCs w:val="28"/>
          <w:lang w:val="uz-Cyrl-UZ"/>
        </w:rPr>
        <w:t xml:space="preserve">ma'muriy huquq, </w:t>
      </w:r>
      <w:r w:rsidRPr="003166EC">
        <w:rPr>
          <w:bCs/>
          <w:sz w:val="28"/>
          <w:szCs w:val="28"/>
          <w:lang w:val="uz-Cyrl-UZ"/>
        </w:rPr>
        <w:t>davlat boshqaruvining umumiy tavsifi,</w:t>
      </w:r>
      <w:r w:rsidRPr="003166EC">
        <w:rPr>
          <w:sz w:val="28"/>
          <w:szCs w:val="28"/>
          <w:lang w:val="uz-Cyrl-UZ"/>
        </w:rPr>
        <w:t xml:space="preserve"> ma'muriy-huquqiy normalar, ma'muriy-huquqiy munosabatlar, davlat xizmatchilari, ma’muriy huquqbuzarlik, davlat boshqaruvida qonuniylik va intizomni ta’minlash </w:t>
      </w:r>
      <w:r w:rsidRPr="003166EC">
        <w:rPr>
          <w:bCs/>
          <w:sz w:val="28"/>
          <w:szCs w:val="28"/>
          <w:lang w:val="uz-Cyrl-UZ" w:eastAsia="x-none"/>
        </w:rPr>
        <w:t>to’g’risi</w:t>
      </w:r>
      <w:r w:rsidRPr="003166EC">
        <w:rPr>
          <w:sz w:val="28"/>
          <w:szCs w:val="28"/>
          <w:lang w:val="uz-Cyrl-UZ" w:eastAsia="x-none"/>
        </w:rPr>
        <w:t>da</w:t>
      </w:r>
      <w:r w:rsidRPr="00FB48AC">
        <w:rPr>
          <w:sz w:val="28"/>
          <w:szCs w:val="28"/>
          <w:lang w:val="uz-Cyrl-UZ" w:eastAsia="x-none"/>
        </w:rPr>
        <w:t xml:space="preserve"> </w:t>
      </w:r>
      <w:r w:rsidRPr="003166EC">
        <w:rPr>
          <w:b/>
          <w:i/>
          <w:sz w:val="28"/>
          <w:szCs w:val="28"/>
          <w:lang w:val="uz-Cyrl-UZ" w:eastAsia="x-none"/>
        </w:rPr>
        <w:t>tasavvurga ega bo’lishi</w:t>
      </w:r>
      <w:r w:rsidRPr="003166EC">
        <w:rPr>
          <w:sz w:val="28"/>
          <w:szCs w:val="28"/>
          <w:lang w:val="uz-Cyrl-UZ" w:eastAsia="x-none"/>
        </w:rPr>
        <w:t>;</w:t>
      </w:r>
    </w:p>
    <w:p w:rsidR="00F532E2" w:rsidRPr="003166EC" w:rsidRDefault="00F532E2" w:rsidP="00F532E2">
      <w:pPr>
        <w:numPr>
          <w:ilvl w:val="0"/>
          <w:numId w:val="1"/>
        </w:numPr>
        <w:shd w:val="clear" w:color="auto" w:fill="FFFFFF"/>
        <w:spacing w:line="276" w:lineRule="auto"/>
        <w:ind w:left="0" w:firstLine="567"/>
        <w:contextualSpacing/>
        <w:jc w:val="both"/>
        <w:rPr>
          <w:b/>
          <w:sz w:val="28"/>
          <w:szCs w:val="28"/>
          <w:lang w:val="uz-Cyrl-UZ" w:eastAsia="x-none"/>
        </w:rPr>
      </w:pPr>
      <w:r w:rsidRPr="003166EC">
        <w:rPr>
          <w:sz w:val="28"/>
          <w:szCs w:val="28"/>
          <w:lang w:val="uz-Cyrl-UZ"/>
        </w:rPr>
        <w:t xml:space="preserve"> ma'muriy huquq, ma'muriy-huquqiy normalar, ma'muriy-huquqiy munosabatlar, davlat boshqaruv hujjatlari, ma'muriy huquqiy munosabatlarni tartibga solish, qonun hujjatlarini bilishi va qo’llash; ma'muriy-huquiy normalarni shakillantirishda ahamiyatga ega bo’lgan me'yoriy va faktik ma'lumotlarga ega bo’lish, ma'muriy-huquqiy normalar va huquqiy munosabatlarni tahlil etish, voyaga yetmaganlar o’rtasida ma'muriy-huquqbuzarlikni aniqlash va profilaktika ishlarini ko’rish, sababini o’rganish va yordam ko’rsatish yuzasidan</w:t>
      </w:r>
      <w:r w:rsidRPr="003166EC">
        <w:rPr>
          <w:color w:val="FF0000"/>
          <w:sz w:val="28"/>
          <w:szCs w:val="28"/>
          <w:lang w:val="uz-Cyrl-UZ" w:eastAsia="x-none"/>
        </w:rPr>
        <w:t xml:space="preserve"> </w:t>
      </w:r>
      <w:r w:rsidRPr="003166EC">
        <w:rPr>
          <w:sz w:val="28"/>
          <w:szCs w:val="28"/>
          <w:lang w:val="uz-Cyrl-UZ" w:eastAsia="x-none"/>
        </w:rPr>
        <w:t xml:space="preserve">jarayonlarning xususiyatlarini </w:t>
      </w:r>
      <w:r w:rsidRPr="003166EC">
        <w:rPr>
          <w:b/>
          <w:i/>
          <w:sz w:val="28"/>
          <w:szCs w:val="28"/>
          <w:lang w:val="uz-Cyrl-UZ" w:eastAsia="x-none"/>
        </w:rPr>
        <w:t>bilishi va ulardan foydalana olishi</w:t>
      </w:r>
      <w:r w:rsidRPr="003166EC">
        <w:rPr>
          <w:sz w:val="28"/>
          <w:szCs w:val="28"/>
          <w:lang w:val="uz-Cyrl-UZ" w:eastAsia="x-none"/>
        </w:rPr>
        <w:t>;</w:t>
      </w:r>
    </w:p>
    <w:p w:rsidR="00F532E2" w:rsidRPr="003166EC" w:rsidRDefault="00F532E2" w:rsidP="00F532E2">
      <w:pPr>
        <w:numPr>
          <w:ilvl w:val="0"/>
          <w:numId w:val="2"/>
        </w:numPr>
        <w:shd w:val="clear" w:color="auto" w:fill="FFFFFF"/>
        <w:spacing w:line="276" w:lineRule="auto"/>
        <w:ind w:left="0"/>
        <w:contextualSpacing/>
        <w:jc w:val="both"/>
        <w:rPr>
          <w:b/>
          <w:i/>
          <w:sz w:val="28"/>
          <w:szCs w:val="28"/>
          <w:lang w:val="uz-Cyrl-UZ" w:eastAsia="x-none"/>
        </w:rPr>
      </w:pPr>
      <w:r w:rsidRPr="003166EC">
        <w:rPr>
          <w:sz w:val="28"/>
          <w:szCs w:val="28"/>
          <w:lang w:val="uz-Cyrl-UZ"/>
        </w:rPr>
        <w:t>ma'muriy huquqiy munosabatlarni tartibga solish, qonun hujjatlarini bilishi, ma'muriy-huquiy normalarni shakillantirishda ahamiyatga ega bo’lgan me'yoriy hujjatlar tog’risida, ma'muriy-huquqiy normalar va huquqiy munosabatlarni,</w:t>
      </w:r>
      <w:r w:rsidRPr="00FB48AC">
        <w:rPr>
          <w:sz w:val="28"/>
          <w:szCs w:val="28"/>
          <w:lang w:val="uz-Cyrl-UZ"/>
        </w:rPr>
        <w:t xml:space="preserve"> </w:t>
      </w:r>
      <w:r w:rsidRPr="003166EC">
        <w:rPr>
          <w:sz w:val="28"/>
          <w:szCs w:val="28"/>
          <w:lang w:val="uz-Cyrl-UZ"/>
        </w:rPr>
        <w:t xml:space="preserve">voyaga yetmaganlar ma'muriy-huquqbuzarligining sababini o’rganish  </w:t>
      </w:r>
      <w:r w:rsidRPr="003166EC">
        <w:rPr>
          <w:b/>
          <w:i/>
          <w:sz w:val="28"/>
          <w:szCs w:val="28"/>
          <w:lang w:val="uz-Cyrl-UZ" w:eastAsia="x-none"/>
        </w:rPr>
        <w:t>ko’nikmalariga ega bo’lishi kerak.</w:t>
      </w:r>
    </w:p>
    <w:p w:rsidR="00B4006F" w:rsidRPr="00F532E2" w:rsidRDefault="00B4006F">
      <w:pPr>
        <w:rPr>
          <w:lang w:val="uz-Cyrl-UZ"/>
        </w:rPr>
      </w:pPr>
    </w:p>
    <w:sectPr w:rsidR="00B4006F" w:rsidRPr="00F532E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altName w:val="Times New Roman"/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altName w:val="Arial Unicode M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altName w:val="Wingdings 3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altName w:val="Century Gothic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Batang">
    <w:altName w:val="????????|???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altName w:val="Palatino Linotype"/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9B3A3D"/>
    <w:multiLevelType w:val="hybridMultilevel"/>
    <w:tmpl w:val="F9D88596"/>
    <w:lvl w:ilvl="0" w:tplc="1FA43A08">
      <w:numFmt w:val="bullet"/>
      <w:lvlText w:val="–"/>
      <w:lvlJc w:val="left"/>
      <w:pPr>
        <w:ind w:left="1287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>
    <w:nsid w:val="75702516"/>
    <w:multiLevelType w:val="hybridMultilevel"/>
    <w:tmpl w:val="CAD4A9C0"/>
    <w:lvl w:ilvl="0" w:tplc="890ADEB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  <w:b w:val="0"/>
        <w:i w:val="0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56C3"/>
    <w:rsid w:val="00B4006F"/>
    <w:rsid w:val="00EF56C3"/>
    <w:rsid w:val="00F532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F532E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F532E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249</Words>
  <Characters>1423</Characters>
  <Application>Microsoft Office Word</Application>
  <DocSecurity>0</DocSecurity>
  <Lines>11</Lines>
  <Paragraphs>3</Paragraphs>
  <ScaleCrop>false</ScaleCrop>
  <Company>Home</Company>
  <LinksUpToDate>false</LinksUpToDate>
  <CharactersWithSpaces>1669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Doctor Umid</dc:creator>
  <cp:keywords/>
  <dc:description/>
  <cp:lastModifiedBy>Doctor Umid</cp:lastModifiedBy>
  <cp:revision>2</cp:revision>
  <dcterms:created xsi:type="dcterms:W3CDTF">2019-12-26T10:45:00Z</dcterms:created>
  <dcterms:modified xsi:type="dcterms:W3CDTF">2019-12-26T10:47:00Z</dcterms:modified>
</cp:coreProperties>
</file>