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0‘ZBEKISTON RESPUBLIKASI OLIYTA’LIM, FAN VA</w:t>
        <w:br/>
        <w:t>INNOVATSIYALAR VAZIRLIGI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ABDULLA QODIRIY NOMIDAGI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</w:rPr>
        <w:t>JIZZAX DAVLAT PEDAGOGIKA UNIVERSITETI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147" w:h="16838"/>
          <w:pgMar w:top="581" w:right="522" w:bottom="477" w:left="1199" w:header="153" w:footer="49" w:gutter="0"/>
          <w:pgNumType w:start="1"/>
          <w:cols w:space="720"/>
          <w:noEndnote/>
          <w:rtlGutter w:val="0"/>
          <w:docGrid w:linePitch="360"/>
        </w:sectPr>
      </w:pPr>
      <w:r>
        <w:drawing>
          <wp:anchor distT="240030" distB="149225" distL="0" distR="0" simplePos="0" relativeHeight="125829378" behindDoc="0" locked="0" layoutInCell="1" allowOverlap="1">
            <wp:simplePos x="0" y="0"/>
            <wp:positionH relativeFrom="page">
              <wp:posOffset>1428750</wp:posOffset>
            </wp:positionH>
            <wp:positionV relativeFrom="paragraph">
              <wp:posOffset>240030</wp:posOffset>
            </wp:positionV>
            <wp:extent cx="1286510" cy="1200785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86510" cy="12007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03200" distB="103505" distL="0" distR="0" simplePos="0" relativeHeight="125829379" behindDoc="0" locked="0" layoutInCell="1" allowOverlap="1">
            <wp:simplePos x="0" y="0"/>
            <wp:positionH relativeFrom="page">
              <wp:posOffset>3449320</wp:posOffset>
            </wp:positionH>
            <wp:positionV relativeFrom="paragraph">
              <wp:posOffset>203200</wp:posOffset>
            </wp:positionV>
            <wp:extent cx="1073150" cy="1280160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073150" cy="1280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233680" distB="0" distL="0" distR="0" simplePos="0" relativeHeight="125829380" behindDoc="0" locked="0" layoutInCell="1" allowOverlap="1">
            <wp:simplePos x="0" y="0"/>
            <wp:positionH relativeFrom="page">
              <wp:posOffset>5064760</wp:posOffset>
            </wp:positionH>
            <wp:positionV relativeFrom="paragraph">
              <wp:posOffset>233680</wp:posOffset>
            </wp:positionV>
            <wp:extent cx="1347470" cy="1353185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347470" cy="13531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before="27" w:after="2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147" w:h="16838"/>
          <w:pgMar w:top="747" w:right="0" w:bottom="150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</w:rPr>
        <w:t>“4+2 TARTIBIDAGIMAL AKAVIY AMALIYOTNI</w:t>
        <w:br/>
        <w:t>TASHKIL ETISH TIZIMIISTIQBOLLARIVA</w:t>
        <w:br/>
        <w:t>DOLZARB VAZIFALARI” MAVZUSIDAGI</w:t>
      </w:r>
      <w:bookmarkEnd w:id="0"/>
    </w:p>
    <w:p>
      <w:pPr>
        <w:widowControl w:val="0"/>
        <w:spacing w:after="9194" w:line="1" w:lineRule="exact"/>
      </w:pPr>
      <w:r>
        <w:drawing>
          <wp:anchor distT="499745" distB="426720" distL="0" distR="0" simplePos="0" relativeHeight="62914690" behindDoc="1" locked="0" layoutInCell="1" allowOverlap="1">
            <wp:simplePos x="0" y="0"/>
            <wp:positionH relativeFrom="page">
              <wp:posOffset>75565</wp:posOffset>
            </wp:positionH>
            <wp:positionV relativeFrom="paragraph">
              <wp:posOffset>753745</wp:posOffset>
            </wp:positionV>
            <wp:extent cx="7565390" cy="465709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7565390" cy="46570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254000</wp:posOffset>
                </wp:positionV>
                <wp:extent cx="5690870" cy="267970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690870" cy="267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</w:rPr>
                              <w:t>Respublika ilmiy-amaliy anjuman materiallar to’plami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76.5pt;margin-top:20.pt;width:448.10000000000002pt;height:21.1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Respublika ilmiy-amaliy anjuman materiallar to’plami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3306445</wp:posOffset>
                </wp:positionH>
                <wp:positionV relativeFrom="paragraph">
                  <wp:posOffset>5539105</wp:posOffset>
                </wp:positionV>
                <wp:extent cx="1536065" cy="29845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6065" cy="298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D160A"/>
                                <w:spacing w:val="0"/>
                                <w:w w:val="100"/>
                                <w:position w:val="0"/>
                                <w:sz w:val="38"/>
                                <w:szCs w:val="38"/>
                                <w:shd w:val="clear" w:color="auto" w:fill="auto"/>
                              </w:rPr>
                              <w:t>Jizzax 2025 yil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60.35000000000002pt;margin-top:436.15000000000003pt;width:120.95pt;height:23.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b/>
                          <w:bCs/>
                          <w:color w:val="2D160A"/>
                          <w:spacing w:val="0"/>
                          <w:w w:val="100"/>
                          <w:position w:val="0"/>
                          <w:sz w:val="38"/>
                          <w:szCs w:val="38"/>
                          <w:shd w:val="clear" w:color="auto" w:fill="auto"/>
                        </w:rPr>
                        <w:t>Jizzax 2025 yil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60" w:line="257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O‘ZBEKISTON RESPUBLIKASI OLIY TA’LIM, FAN VA</w:t>
        <w:br/>
        <w:t>INNOVATSIYALAR VAZIRLIGI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000" w:line="38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ABDULLA QODIRIY NOMIDAGIJIZZAX DAVLAT PEDAGOGIKA</w:t>
        <w:br/>
        <w:t>UNIVERSITETI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4+2 TARTIBIDAGIMALAKAVIYAMALIYOTNITASHKIL ETISH</w:t>
        <w:br/>
        <w:t>TIZIMIISTIQBOLLARIVA DOLZARB VAZIFALARI</w:t>
        <w:br/>
        <w:t>mavzusidagi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2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Respublika ilmiy -amatiy konferensiyasi</w:t>
        <w:br/>
        <w:t>materiaiiari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</w:rPr>
        <w:t>16 may 2025 yil</w:t>
      </w:r>
      <w:bookmarkEnd w:id="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2147" w:h="16838"/>
          <w:pgMar w:top="747" w:right="447" w:bottom="1504" w:left="1274" w:header="319" w:footer="1076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>Jizzax 2025 yil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61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“ Toifalash jadvali ” metodi.</w:t>
      </w:r>
    </w:p>
    <w:tbl>
      <w:tblPr>
        <w:tblOverlap w:val="never"/>
        <w:jc w:val="center"/>
        <w:tblLayout w:type="fixed"/>
      </w:tblPr>
      <w:tblGrid>
        <w:gridCol w:w="523"/>
        <w:gridCol w:w="3778"/>
        <w:gridCol w:w="2779"/>
        <w:gridCol w:w="2712"/>
      </w:tblGrid>
      <w:tr>
        <w:trPr>
          <w:trHeight w:val="163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Quyidagi moddalarni toifalarga</w:t>
              <w:br/>
              <w:t>ajrating: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C12, HCl, N2, HBr, HI, H2O, K, H2S, H2, F2,</w:t>
              <w:br/>
              <w:t xml:space="preserve">NH3,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 xml:space="preserve">СН4,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Al,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 xml:space="preserve">РС13,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Na, PC15,12, NaCl, Br2,</w:t>
              <w:br/>
              <w:t>CaF2, Li2O, MgO , 02, Li, K2S, Cu, Zn, BaC12.</w:t>
            </w:r>
          </w:p>
        </w:tc>
      </w:tr>
      <w:tr>
        <w:trPr>
          <w:trHeight w:val="13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Elektromanfiyliklari bir xil</w:t>
              <w:br/>
              <w:t>bo‘lgan elementlardan, ya’ni ayni bir</w:t>
              <w:br/>
              <w:t>xil element atomlaridan hosil</w:t>
              <w:br/>
              <w:t>bo'lgan moddalar: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H2, F2, C12, Br2,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>12, 02,</w:t>
              <w:br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N2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 xml:space="preserve">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Li, Na, K, Al, Fe,</w:t>
              <w:br/>
              <w:t>Cu, Zn.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92" w:val="left"/>
              </w:tabs>
              <w:bidi w:val="0"/>
              <w:spacing w:before="0" w:after="0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Elektromanfiyligi</w:t>
              <w:tab/>
              <w:t>bir-biridan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biroz farq qiladigan element</w:t>
              <w:br/>
              <w:t>atomlaridan hosil bo‘lgan moddalar: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Hcl, HBr, HI, H2O, H2S,</w:t>
              <w:br/>
              <w:t>NH3, CH4, PC13, PC15.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uz-UZ" w:eastAsia="uz-UZ" w:bidi="uz-UZ"/>
              </w:rPr>
              <w:t>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574" w:val="left"/>
              </w:tabs>
              <w:bidi w:val="0"/>
              <w:spacing w:before="0" w:after="0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Elektromanfiyligi</w:t>
              <w:tab/>
              <w:t>bir-biridan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keskin farq qiladigan element atom</w:t>
              <w:br/>
              <w:t>laridan hosil bo‘lgan moddalar: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NaCl, K2S, BaC12, CaF2,</w:t>
              <w:br/>
              <w:t>Li2O, MgO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</w:rPr>
        <w:t>Ushbu o’qitish metodlari an’anaviy usullardan farqli o’laroq, o’quvchini dars jarayonining</w:t>
        <w:br/>
        <w:t>markaziga qo’yadi va bilimni faqat eslab qolish emas, balki tushunish, amaliyotga tadbiq etish,</w:t>
        <w:br/>
        <w:t>tahlil qilish va mustaqil fikrlashga undaydi.</w:t>
      </w:r>
    </w:p>
    <w:p>
      <w:pPr>
        <w:widowControl w:val="0"/>
        <w:spacing w:after="299" w:line="1" w:lineRule="exact"/>
      </w:pP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16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FOYDALANILGAN ADABIYOTLAR: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1. R,Sh. Berdiqulov, O.Yu. Iskandarov, Sh.M. Mirkomilov “ Anorganik kimyo” Toshkent- 2018.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2.1.R.Asqarov, K.G’opirov, N.X.To’xtaboyev “ Kimyo-8” Toshkent- 2019.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3. B.Umarov ” Organik kimyo” Toshkent- 2007.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4.1.A.Tashev, R.R,Ro’ziyev, LLIsmoilov “ Anorganik kimyo” Toshkent - 2011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5. Sh.A.Kadirova, D.S.Raxmonova, S.R.Razzoqova, B.S. Torambetov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“ Noorganik kimyodan amaliy mashg’ulot va nazorat savollari “ Toshkent- 2023.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 xml:space="preserve">РОЛЬ МЕЖПРЕДМЕТНБ1Х СВЯЗЕЙ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 xml:space="preserve">B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ОБУЧЕНИИ ХИМИЧЕСКИХ</w:t>
        <w:br/>
        <w:t>ДИСЦИПЛИН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Хасанова Наргиза Исмагиловна, Курбанова Айпара Джолдасовна</w:t>
        <w:br/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Чирчикский государственнъш педагогический университет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2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 xml:space="preserve">Аннотация.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Знание о предмете как едином целом может бмть получено при поиске</w:t>
        <w:br/>
        <w:t>точек пересечения разнмх наук, установления взаимосвязи между отдельннми</w:t>
        <w:br/>
        <w:t>открмтиями и определением первоначальнмх причин явления. Поэтому неслучайно</w:t>
        <w:br/>
        <w:t>появление новмх, междисциплиннмх наук - науки стоягцих на стмке нескольких</w:t>
        <w:br/>
        <w:t>традиционнмх естественнмх наук.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2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 xml:space="preserve">Ключевме слова: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физическая химия, биологическая химия, физико-химическая</w:t>
        <w:br/>
        <w:t>биология, биофизика, психофизика, межпредметнмй связь.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2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Введение.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 xml:space="preserve"> Значиммми для настояшего этапа и перспектив развития нашего</w:t>
        <w:br/>
        <w:t>обгцества признаются такие качества и характеристики человека как инициативность,</w:t>
        <w:br/>
        <w:t>предприимчивость, перспективное ммшление, умение принимать оптимальное решение и</w:t>
        <w:br w:type="pag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 xml:space="preserve">т.п.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 xml:space="preserve">B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формировании таких специалистов первостепенное значение имеет развитие</w:t>
        <w:br/>
        <w:t>системного мьппления, умения видеть объект в единстве его многосторонних связей. Во</w:t>
        <w:br/>
        <w:t>власти педагогов разработать условия, способствуклцие формированию системньгх,</w:t>
        <w:br/>
        <w:t>целостнмх научннх знаний и практических умений, содействуюгцих синтезу,</w:t>
        <w:br/>
        <w:t>объединению получаемнх по разннм дисциплинам сведений. Таким образом, сегодня</w:t>
        <w:br/>
        <w:t>актуальнн проблемн интеллектуального развития личности школьника в процессе</w:t>
        <w:br/>
        <w:t>обучения естественнонаучннм предметам на основе межпредметннх связей. Знания и</w:t>
        <w:br/>
        <w:t>умения, полученнне учатцимися по разннм дисциплинам, представляют собой смесь</w:t>
        <w:br/>
        <w:t>слабосвязанннх сведений, не используемнх ни в учебе, ни в производственной практике.</w:t>
        <w:br/>
        <w:t>Поэтому роль межпредметннх связей в школьном обучении очевидна[1].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Исследованием межпредметннх связей с различннх позиций занимались</w:t>
        <w:br/>
        <w:t>слсдуюшис методистн-учённе: У. Байер, Г.И. Батурина, Р.А. Блохина, Н.И. Горбачева,</w:t>
        <w:br/>
        <w:t>И.Д. Зверев, П.Г. Кулагин, Х.Омонов, Р.Рузиев, М.М. Хафизов и др. Анализировали</w:t>
        <w:br/>
        <w:t>межпредметнне связи в процессе преподавания химии: Д.П. Ернгин, В.Н. Федорова,</w:t>
        <w:br/>
        <w:t>Х.Омонов, Р.Рузиев (химии и биологии); Л.В. Загрекова, В.Р. Ильченко, Д.М.Кирюшкин,</w:t>
        <w:br/>
        <w:t>Е.Е. Минченков, М.М. Хафизов (химия и физика); Е.Г. Шмуклер, К.У. Комилов, Н.Н.</w:t>
        <w:br/>
        <w:t>Иўлдашев (химия и математика). Роль межпредметннх связей в процессе обучения химии</w:t>
        <w:br/>
        <w:t>[2].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Межпредметнне связи обеспечивают эффективное формирование у студентов</w:t>
        <w:br/>
        <w:t>научннх понятий и углубленное усвоение изучаемнх теорий, способствует</w:t>
        <w:br/>
        <w:t>формированию научно-материалистического мировоззрения [3]. Наличие межпредметннх</w:t>
        <w:br/>
        <w:t>связей позволяет создать у студентов первого курса представления о системах понятий и</w:t>
        <w:br/>
        <w:t>универсальннх законах, а у студентов старших курсов - об обших теориях и</w:t>
        <w:br/>
        <w:t>комплексннх проблемах [4]. Обтцими для предметов химии и физики, например, является:</w:t>
        <w:br/>
        <w:t>система понятий о вегцестве и его строении, которая необходима для усвоения</w:t>
        <w:br/>
        <w:t>фундаментальной физико-химической теории строения вегцества, система понятий об</w:t>
        <w:br/>
        <w:t>энергии, ее видах и превратцениях, включая понятия о внутренней энергии, энергии</w:t>
        <w:br/>
        <w:t>активации, ионизации и др.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Химических дисциплин объединяет с биологией и физикой система понятий о</w:t>
        <w:br/>
        <w:t>материи, формах ее движения и уровнях организации. Химические дисциплинн и физика</w:t>
        <w:br/>
        <w:t>изучают молекулярннй и атомарннй уровни организации материи, биология - клеточннй,</w:t>
        <w:br/>
        <w:t>организационньш и биоценозннй. Молекулн при одних условиях распадаются на атомн,</w:t>
        <w:br/>
        <w:t>ионн, а при других образуют многомолекулярнне коллоиднне системн. Коллоидн живнх</w:t>
        <w:br/>
        <w:t>тел изучают биохимия и биофизика. Наблюдения и опнт преподавания в школе</w:t>
        <w:br/>
        <w:t>показнвают, что в процессе осутцествления межпредметннх связей «биология-химия-</w:t>
        <w:br/>
        <w:t>физика» студентов глубоко осознают обгцность и особенности структурн живнх и</w:t>
        <w:br/>
        <w:t>неживнх микротел [5].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У студентов должно бнть сформировано понятие о природе как системе, в которой</w:t>
        <w:br/>
        <w:t>все ее элементн взаимодействуют в круговороте вешеств и энергии, постоянно</w:t>
        <w:br/>
        <w:t>совершаются процессн самовоспроизведения и тем самнм поддерживаются нормальнне</w:t>
        <w:br/>
        <w:t>биофизические и биохимические условия жизни на Земле. Важно, чтобн студентн</w:t>
        <w:br/>
        <w:t>осознали, что практическая деятельность человека, его воздействие на природу может</w:t>
        <w:br w:type="pag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протекать благоприятно для ньшешних и грядуших поколений только на основе познания</w:t>
        <w:br/>
        <w:t>ее законов [6].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 xml:space="preserve">Memodbi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и методология.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 xml:space="preserve"> Межпредметнме связи служат способом раскрьггия в</w:t>
        <w:br/>
        <w:t>содержании обучения современннх тенденций развития науки. Усиливается</w:t>
        <w:br/>
        <w:t>алгоритмизация (математизация) химических дисциплин. Опора на математические</w:t>
        <w:br/>
        <w:t>методм в программах по химическим дисциплинам позволяет количественно оценивать</w:t>
        <w:br/>
        <w:t>закономерности химических процессов, логически обосновать отдельнме законм и</w:t>
        <w:br/>
        <w:t>теории. Большое познавательное значение имеет построение графиков, отражаютцих,</w:t>
        <w:br/>
        <w:t>например, зависимости процентной концентрации раствора от массм растворенного</w:t>
        <w:br/>
        <w:t>вегцества в данной массе раствора; теплового эффекта реакции от массн образовавшегося</w:t>
        <w:br/>
        <w:t>вешества; полнотм окисления вегцества от температурнмх условий; степени диссоциации</w:t>
        <w:br/>
        <w:t>вегцества от концентрации его раствора и т.п. Такие графики важнм для развития и</w:t>
        <w:br/>
        <w:t>конкретизации знаний учатцихся о графиках и их свойствах, Они в наглядной и</w:t>
        <w:br/>
        <w:t>обобтценной форме вмражают количественнме зависимости химических процессов, при</w:t>
        <w:br/>
        <w:t>этом происходит обобшение математических и химических знаний и умений студентов.</w:t>
        <w:br/>
        <w:t>Благодаря межпредметнмм связям наука предстает перед студентами не только как</w:t>
        <w:br/>
        <w:t>система знаний, но и как система методов [7].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Обсуждение.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 xml:space="preserve"> Фактические связи - это связи между учебннми предметами на</w:t>
        <w:br/>
        <w:t>уровне фактов, всестороннее их рассмотрение с целью обобтцения знаний об отдельньтх</w:t>
        <w:br/>
        <w:t>явлениях и объектах природм. Например, в курсах химии, физики и биологии изучаются</w:t>
        <w:br/>
        <w:t>фактм, раскрмваювдие связи между строением, физическими и химическими свойствами и</w:t>
        <w:br/>
        <w:t>биологическими функциями элементов-органогенов и неорганических и органических</w:t>
        <w:br/>
        <w:t>ветцеств живой природьг. Это темн: «Простне ветцества - металлн. Простне ветцества -</w:t>
        <w:br/>
        <w:t>неметаллм», «Соединения химических элементов», «Растворение. Растворм», «Подгруппа</w:t>
        <w:br/>
        <w:t>азота», «Подгруппа углерода», «Галогенн», «Сложнме эфирн. Жирм», «Углеводм»,</w:t>
        <w:br/>
        <w:t>«Аминн. Аминокислотм. Белки» - в химических дисциплинах, «Кристаллические тела» -</w:t>
        <w:br/>
        <w:t>в курсе физики, «Клетка», «Семя», «Корень», «Лист», «Кровь», «Дмхание»,</w:t>
        <w:br/>
        <w:t>«Пшцеварение «, «Обмен вешеств», «Железм внутренней секреции», «Химическая</w:t>
        <w:br/>
        <w:t>организация клетки» - в курсах биологии. В этих темах возможно раскрнтие</w:t>
        <w:br/>
        <w:t>взаимосвязей между строением, свойствами и функциями вешеств живой природм на</w:t>
        <w:br/>
        <w:t>основе учения о химической связи и теории строения вегцеств.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Теория - это система научнмх знаний в определенной предметной области.</w:t>
        <w:br/>
        <w:t>Межпредметнме теоретические связи означают поэлементное приравдение новнх</w:t>
        <w:br/>
        <w:t>компонентов обгценаучннх теорий из знаний, получаеммх студентами на занятиях по</w:t>
        <w:br/>
        <w:t>родственннм предметам, с целью усвоения ими теории как единого целого.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Фундаментальную связь естественнонаучньтх предметов составляет теория</w:t>
        <w:br/>
        <w:t>строения вешества. Она включает систему знаний о вегцестве и его строении: что такое</w:t>
        <w:br/>
        <w:t>вешество, его свойства; молекула и ее характеристики; атом, его строение, ион, электрон,</w:t>
        <w:br/>
        <w:t>ядро, его состав, элементарнме частицм. Развитие этих понятий происходит путем</w:t>
        <w:br/>
        <w:t>обогашения их признаков в процессе преемственнмх межпредметнмх связей химических</w:t>
        <w:br/>
        <w:t>дисциплин и физики и конкретизации понятий в курсах биологии и астрономии. В</w:t>
        <w:br/>
        <w:t>кафедрн химии Чирчикского государственного педагогического университета</w:t>
        <w:br/>
        <w:t>развиваются межпредметнне связи и связи школа-университет-школа. В теме</w:t>
        <w:br w:type="pag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«Первоначальнме химические понятия» студентм и учашцеся должнн воспроизвести</w:t>
        <w:br/>
        <w:t>знания о молекулах и атомах, полученнме на занятиях физики, и применить их при</w:t>
        <w:br/>
        <w:t>изучении понятий «чистме вегцества», «смеси», «физические явления, «химические</w:t>
        <w:br/>
        <w:t>явления», «простме вегцества», «сложнме ветцества». Студентм повторяет, а учагцейся</w:t>
        <w:br/>
        <w:t>узнают о новмх характеристиках молекул и атомов: свойства вешества зависят от</w:t>
        <w:br/>
        <w:t>строения его молекул; молекулм сохраняются при физических явлениях и разрушаются</w:t>
        <w:br/>
        <w:t>при химических процессах; молекулм обладают кинетической и потенциальной энергией;</w:t>
        <w:br/>
        <w:t>атомм одного и того же вида одинаковм, но отличаются от атомов другого вида; атомм</w:t>
        <w:br/>
        <w:t>могут соединяться друг с другом, образуя молекулн простмх и сложнмх вегцеств; атомм -</w:t>
        <w:br/>
        <w:t>химически неделимме частицм; при химических реакциях происходит их</w:t>
        <w:br/>
        <w:t>перегруппировка, но сами атомм не изменяются, их массм очень малм. Физика и химия</w:t>
        <w:br/>
        <w:t>изучают вегцества и их свойства, но объектом физики является молекулярнмй уровень</w:t>
        <w:br/>
        <w:t>строения ветцества, а объектом химии - атомнмй. При раскрмтии сутцности понятий</w:t>
        <w:br/>
        <w:t>«смеси» и «химические соединения» в теме «Первоначальнме химические понятия»</w:t>
        <w:br/>
        <w:t>можно опереться на представления учашцхся, полученнме при изучении природоведения,</w:t>
        <w:br/>
        <w:t>о смесях (воздухе) и о способах их разделения.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Одним из средств реализации межпредметнмх связей могут бнть задания</w:t>
        <w:br/>
        <w:t>межпредметного характера. Задания на связь с другими предметами разнообразнм:</w:t>
        <w:br/>
        <w:t>постановка вопросов на разммшление, подготовка сообгцений на занятиях, написание</w:t>
        <w:br/>
        <w:t>рефератов, изготовление оригинальнмх нагляднмх пособий, требуюших знаний студентов</w:t>
        <w:br/>
        <w:t>по другим предметам; составление кроссвордов с использованием терминов,</w:t>
        <w:br/>
        <w:t>употребляемнх в смежньтх курсах. Много домашних заданий на межпредметнме связи в</w:t>
        <w:br/>
        <w:t>учебниках по химическим дисциплинам.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Для обобгцения знаний из разнмх предметов в процессе обучения сугцественное</w:t>
        <w:br/>
        <w:t>значение имеют комплекснме нагляднне пособия: обобтцаютцие таблицн, схемн,</w:t>
        <w:br/>
        <w:t>диаграммм, плакатьт, картм, диафильмм. Они позволяют учагцимся наглядно увидеть ту</w:t>
        <w:br/>
        <w:t>совокупность знаний из разнмх предметов, которая раскрнвает тот или иной вопрос</w:t>
        <w:br/>
        <w:t>межпредметного содержания. Таблица «Кислород и азот» раскрмвает особенности</w:t>
        <w:br/>
        <w:t>строения атомов и молекул важнейших элементов-органогенов и показмвает участие</w:t>
        <w:br/>
        <w:t>кислорода в процессе дмхания и его образование в процессе фотосинтеза, а также роль</w:t>
        <w:br/>
        <w:t>азота и кислорода в построении нуклеиновмх кислот, с помошью котормх осугцествляется</w:t>
        <w:br/>
        <w:t>передача наследственннх признаков организма. Данная таблица включает сведения из</w:t>
        <w:br/>
        <w:t>курсов химии и биологии.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В качестве средств реализации межпредметннх связей в процессе обучения могут</w:t>
        <w:br/>
        <w:t>бмть использованм кроссвордм межпредметного содержания, которне позволяют</w:t>
        <w:br/>
        <w:t>студентам закрепить терминм, используемме в нескольких предметах, осознать</w:t>
        <w:br/>
        <w:t>межпредметннй характер смежнмх понятий.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8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Есть также опмт проведения межпредметнмх конференций и сюжетно-ролевмх</w:t>
        <w:br/>
        <w:t>игр, которме позволяют объединить студентов разньтх курсах и разного возраста.</w:t>
        <w:br/>
        <w:t>Студентм расширяют границм обтцения и совместной деятельности и открмвают широкие</w:t>
        <w:br/>
        <w:t>возможности для раскрмтия положительнмх сторон личности и развитие</w:t>
        <w:br/>
        <w:t>интеллектуального способности студента.</w:t>
      </w:r>
      <w:r>
        <w:br w:type="page"/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Отмеченньте средства реализации межпредметньтх связей в процессе обучения</w:t>
        <w:br/>
        <w:t>направленм на воспроизведение, повторение, закрепление, систематизацию и применение</w:t>
        <w:br/>
        <w:t>знаний учашихся из разнмх учебнмх предметов. Они обеспечивают сочетание</w:t>
        <w:br/>
        <w:t>репродуктивной и поисковой познавательной деятельности студентов, осугцествляемой</w:t>
        <w:br/>
        <w:t>под непосредственннм руководством преподавателя.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Рекомендации для решения проблем по реализации МПС: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18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Находить в смежннх предметах такой материал, котормй бн способствовал в</w:t>
        <w:br/>
        <w:t>ярких, образннх сравнениях и сопоставлениях сильнее запечатлеть вновь изучаеммй</w:t>
        <w:br/>
        <w:t>материал данной дисциплинн.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14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Постоянно направить студента бмстрому и оперативному припоминанию ранее</w:t>
        <w:br/>
        <w:t>усвоенного в целях более продуктивного усвоения нового. Создавать у студентов</w:t>
        <w:br/>
        <w:t>потребность обратцения к учебникам смежнмх предметов в самостоятельной работе путём</w:t>
        <w:br/>
        <w:t>постановки, задач, указаний и воспитания интереса и усвоению многосторонних знаний о</w:t>
        <w:br/>
        <w:t>предмете или явлении реальной действительности.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14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Необходимо развивать коллективнне методм учения и систематически</w:t>
        <w:br/>
        <w:t>поошрять индивидуальнме достижения в припоминании и использовании знаний</w:t>
        <w:br/>
        <w:t>смежнмх предметов.</w:t>
      </w:r>
    </w:p>
    <w:p>
      <w:pPr>
        <w:pStyle w:val="Style2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14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Постоянно побуждая студентов к работе по припоминанию смежнмх знаний,</w:t>
        <w:br/>
        <w:t>необходимо формировать умения творческого их применения.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Bbieodbi.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Благодаря межпредметнмм связям студентм овладевают ведугцими</w:t>
        <w:br/>
        <w:t>идеями предметов, что создает условия для развития обгцих приемов умственной</w:t>
        <w:br/>
        <w:t>деятельности. При этом возникает целостная научная система знаний, имеютцих внсокую</w:t>
        <w:br/>
        <w:t>степень осознанности, мобильности и прочности, формируется мировоззрение, как</w:t>
        <w:br/>
        <w:t>вмсший синтез основ наук и ммшления.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Мне кажется, что использование межпредметннх связей является наиболее</w:t>
        <w:br/>
        <w:t>действенннм инструментом в руках преподавателя, позволяюшцм побуждать студентах к</w:t>
        <w:br/>
        <w:t>творческому поиску, к стремлению использовать весь арсенал своих знаний для</w:t>
        <w:br/>
        <w:t>объяснения единства природн и поддерживать интерес к познанию химии. С помотцью</w:t>
        <w:br/>
        <w:t>многосторонних межпредметннх связей на качественно новом уровне решаются задачи</w:t>
        <w:br/>
        <w:t>обучения, развития и воспитания студентов, закладмвается фундамент для системного</w:t>
        <w:br/>
        <w:t>решения сложннх проблем реальности.</w:t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Использования литература</w:t>
      </w:r>
    </w:p>
    <w:p>
      <w:pPr>
        <w:pStyle w:val="Style2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3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 xml:space="preserve">Джеральд Ван Хекке, Керри Карукстис, Ричард К. Хаскелл, Кэтрин С. Макфадден.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An</w:t>
        <w:br/>
        <w:t>Integration of Chemistry, Biology, and Physics: The Interdisciplinary Laboratory// Joumal of</w:t>
        <w:br/>
        <w:t>Chemical Education, 2002.</w:t>
      </w:r>
    </w:p>
    <w:p>
      <w:pPr>
        <w:pStyle w:val="Style2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Габдуллина Г.Т., Низамов И.С. Опмт проведения лабораторно-практических занятий</w:t>
        <w:br/>
        <w:t>при изучении дисциплинн «Естествознание. Химия с элементами экологии»/ V</w:t>
        <w:br/>
        <w:t>Международная научно-практическая конференция г. Казань, 27-28 марта 2014 года.</w:t>
      </w:r>
    </w:p>
    <w:p>
      <w:pPr>
        <w:pStyle w:val="Style2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Элмурадов Б., Комилов К.У. Математика для изучения химии в техническом ВУЗе/</w:t>
        <w:br/>
        <w:t>Материалм международной конференции/Шммкент, 2019 г. С.239-242.</w:t>
      </w:r>
    </w:p>
    <w:p>
      <w:pPr>
        <w:pStyle w:val="Style2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8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z-UZ" w:eastAsia="uz-UZ" w:bidi="uz-UZ"/>
        </w:rPr>
        <w:t>Комилов К. У., Йулдошев Н. Н. Интеграция математики с естественнмми</w:t>
        <w:br/>
        <w:t>предметами/Замонавий узлуксиз таълим муаммолари: Инновациялар ва истицболлар</w:t>
        <w:br/>
        <w:t>мавзусидаги халцаро илмий конференция материаллари. - 2018 й.</w:t>
      </w:r>
    </w:p>
    <w:sectPr>
      <w:headerReference w:type="default" r:id="rId13"/>
      <w:footerReference w:type="default" r:id="rId14"/>
      <w:footnotePr>
        <w:pos w:val="pageBottom"/>
        <w:numFmt w:val="decimal"/>
        <w:numRestart w:val="continuous"/>
      </w:footnotePr>
      <w:pgSz w:w="12147" w:h="16838"/>
      <w:pgMar w:top="747" w:right="447" w:bottom="1504" w:left="1274" w:header="0" w:footer="3" w:gutter="0"/>
      <w:pgNumType w:start="14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3966845</wp:posOffset>
              </wp:positionH>
              <wp:positionV relativeFrom="page">
                <wp:posOffset>9686925</wp:posOffset>
              </wp:positionV>
              <wp:extent cx="201295" cy="9461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1295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uz-UZ" w:eastAsia="uz-UZ" w:bidi="uz-U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312.35000000000002pt;margin-top:762.75pt;width:15.85pt;height:7.4500000000000002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uz-UZ" w:eastAsia="uz-UZ" w:bidi="uz-U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3094990</wp:posOffset>
              </wp:positionH>
              <wp:positionV relativeFrom="page">
                <wp:posOffset>259715</wp:posOffset>
              </wp:positionV>
              <wp:extent cx="3940810" cy="26543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40810" cy="2654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</w:rPr>
                            <w:t>Respublika ilmiy-amaliy anjumani materiallari to‘plami. A.Qodiriy nomidagi</w:t>
                          </w:r>
                        </w:p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</w:rPr>
                            <w:t>Jizzax davlat pedagogika universiteti. Jizzax 2025 yil 16 may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243.70000000000002pt;margin-top:20.449999999999999pt;width:310.30000000000001pt;height:20.900000000000002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Respublika ilmiy-amaliy anjumani materiallari to‘plami. A.Qodiriy nomidagi</w:t>
                    </w:r>
                  </w:p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</w:rPr>
                      <w:t>Jizzax davlat pedagogika universiteti. Jizzax 2025 yil 16 may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z-UZ" w:eastAsia="uz-UZ" w:bidi="uz-U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z-UZ" w:eastAsia="uz-UZ" w:bidi="uz-U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uz-UZ" w:eastAsia="uz-UZ" w:bidi="uz-U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uz-UZ" w:eastAsia="uz-UZ" w:bidi="uz-U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uz-UZ" w:eastAsia="uz-UZ" w:bidi="uz-UZ"/>
    </w:rPr>
  </w:style>
  <w:style w:type="character" w:customStyle="1" w:styleId="CharStyle3">
    <w:name w:val="Body text (4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lang w:val="uz-UZ" w:eastAsia="uz-UZ" w:bidi="uz-UZ"/>
    </w:rPr>
  </w:style>
  <w:style w:type="character" w:customStyle="1" w:styleId="CharStyle5">
    <w:name w:val="Picture caption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lang w:val="uz-UZ" w:eastAsia="uz-UZ" w:bidi="uz-UZ"/>
    </w:rPr>
  </w:style>
  <w:style w:type="character" w:customStyle="1" w:styleId="CharStyle8">
    <w:name w:val="Heading #1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lang w:val="uz-UZ" w:eastAsia="uz-UZ" w:bidi="uz-UZ"/>
    </w:rPr>
  </w:style>
  <w:style w:type="character" w:customStyle="1" w:styleId="CharStyle10">
    <w:name w:val="Body text (3)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uz-UZ" w:eastAsia="uz-UZ" w:bidi="uz-UZ"/>
    </w:rPr>
  </w:style>
  <w:style w:type="character" w:customStyle="1" w:styleId="CharStyle12">
    <w:name w:val="Body text (2)_"/>
    <w:basedOn w:val="DefaultParagraphFont"/>
    <w:link w:val="Style11"/>
    <w:rPr>
      <w:rFonts w:ascii="Cambria" w:eastAsia="Cambria" w:hAnsi="Cambria" w:cs="Cambria"/>
      <w:b/>
      <w:bCs/>
      <w:i/>
      <w:iCs/>
      <w:smallCaps w:val="0"/>
      <w:strike w:val="0"/>
      <w:sz w:val="32"/>
      <w:szCs w:val="32"/>
      <w:u w:val="none"/>
      <w:lang w:val="uz-UZ" w:eastAsia="uz-UZ" w:bidi="uz-UZ"/>
    </w:rPr>
  </w:style>
  <w:style w:type="character" w:customStyle="1" w:styleId="CharStyle14">
    <w:name w:val="Heading #2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lang w:val="uz-UZ" w:eastAsia="uz-UZ" w:bidi="uz-UZ"/>
    </w:rPr>
  </w:style>
  <w:style w:type="character" w:customStyle="1" w:styleId="CharStyle16">
    <w:name w:val="Table caption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uz-UZ" w:eastAsia="uz-UZ" w:bidi="uz-UZ"/>
    </w:rPr>
  </w:style>
  <w:style w:type="character" w:customStyle="1" w:styleId="CharStyle19">
    <w:name w:val="Other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uz-UZ" w:eastAsia="uz-UZ" w:bidi="uz-UZ"/>
    </w:rPr>
  </w:style>
  <w:style w:type="character" w:customStyle="1" w:styleId="CharStyle23">
    <w:name w:val="Header or footer (2)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uz-UZ" w:eastAsia="uz-UZ" w:bidi="uz-UZ"/>
    </w:rPr>
  </w:style>
  <w:style w:type="character" w:customStyle="1" w:styleId="CharStyle27">
    <w:name w:val="Body text_"/>
    <w:basedOn w:val="DefaultParagraphFont"/>
    <w:link w:val="Styl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Body text (4)"/>
    <w:basedOn w:val="Normal"/>
    <w:link w:val="CharStyle3"/>
    <w:pPr>
      <w:widowControl w:val="0"/>
      <w:shd w:val="clear" w:color="auto" w:fill="auto"/>
      <w:spacing w:line="257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lang w:val="uz-UZ" w:eastAsia="uz-UZ" w:bidi="uz-UZ"/>
    </w:rPr>
  </w:style>
  <w:style w:type="paragraph" w:customStyle="1" w:styleId="Style4">
    <w:name w:val="Picture caption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  <w:lang w:val="uz-UZ" w:eastAsia="uz-UZ" w:bidi="uz-UZ"/>
    </w:rPr>
  </w:style>
  <w:style w:type="paragraph" w:customStyle="1" w:styleId="Style7">
    <w:name w:val="Heading #1"/>
    <w:basedOn w:val="Normal"/>
    <w:link w:val="CharStyle8"/>
    <w:pPr>
      <w:widowControl w:val="0"/>
      <w:shd w:val="clear" w:color="auto" w:fill="auto"/>
      <w:spacing w:line="228" w:lineRule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lang w:val="uz-UZ" w:eastAsia="uz-UZ" w:bidi="uz-UZ"/>
    </w:rPr>
  </w:style>
  <w:style w:type="paragraph" w:customStyle="1" w:styleId="Style9">
    <w:name w:val="Body text (3)"/>
    <w:basedOn w:val="Normal"/>
    <w:link w:val="CharStyle10"/>
    <w:pPr>
      <w:widowControl w:val="0"/>
      <w:shd w:val="clear" w:color="auto" w:fill="auto"/>
      <w:spacing w:after="830" w:line="319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uz-UZ" w:eastAsia="uz-UZ" w:bidi="uz-UZ"/>
    </w:rPr>
  </w:style>
  <w:style w:type="paragraph" w:customStyle="1" w:styleId="Style11">
    <w:name w:val="Body text (2)"/>
    <w:basedOn w:val="Normal"/>
    <w:link w:val="CharStyle12"/>
    <w:pPr>
      <w:widowControl w:val="0"/>
      <w:shd w:val="clear" w:color="auto" w:fill="auto"/>
      <w:spacing w:after="910" w:line="360" w:lineRule="auto"/>
      <w:jc w:val="center"/>
    </w:pPr>
    <w:rPr>
      <w:rFonts w:ascii="Cambria" w:eastAsia="Cambria" w:hAnsi="Cambria" w:cs="Cambria"/>
      <w:b/>
      <w:bCs/>
      <w:i/>
      <w:iCs/>
      <w:smallCaps w:val="0"/>
      <w:strike w:val="0"/>
      <w:sz w:val="32"/>
      <w:szCs w:val="32"/>
      <w:u w:val="none"/>
      <w:lang w:val="uz-UZ" w:eastAsia="uz-UZ" w:bidi="uz-UZ"/>
    </w:rPr>
  </w:style>
  <w:style w:type="paragraph" w:customStyle="1" w:styleId="Style13">
    <w:name w:val="Heading #2"/>
    <w:basedOn w:val="Normal"/>
    <w:link w:val="CharStyle14"/>
    <w:pPr>
      <w:widowControl w:val="0"/>
      <w:shd w:val="clear" w:color="auto" w:fill="auto"/>
      <w:spacing w:after="466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lang w:val="uz-UZ" w:eastAsia="uz-UZ" w:bidi="uz-UZ"/>
    </w:rPr>
  </w:style>
  <w:style w:type="paragraph" w:customStyle="1" w:styleId="Style15">
    <w:name w:val="Table caption"/>
    <w:basedOn w:val="Normal"/>
    <w:link w:val="CharStyle16"/>
    <w:pPr>
      <w:widowControl w:val="0"/>
      <w:shd w:val="clear" w:color="auto" w:fill="auto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uz-UZ" w:eastAsia="uz-UZ" w:bidi="uz-UZ"/>
    </w:rPr>
  </w:style>
  <w:style w:type="paragraph" w:customStyle="1" w:styleId="Style18">
    <w:name w:val="Other"/>
    <w:basedOn w:val="Normal"/>
    <w:link w:val="CharStyle19"/>
    <w:pPr>
      <w:widowControl w:val="0"/>
      <w:shd w:val="clear" w:color="auto" w:fill="auto"/>
      <w:spacing w:line="27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uz-UZ" w:eastAsia="uz-UZ" w:bidi="uz-UZ"/>
    </w:rPr>
  </w:style>
  <w:style w:type="paragraph" w:customStyle="1" w:styleId="Style22">
    <w:name w:val="Header or footer (2)"/>
    <w:basedOn w:val="Normal"/>
    <w:link w:val="CharStyle2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uz-UZ" w:eastAsia="uz-UZ" w:bidi="uz-UZ"/>
    </w:rPr>
  </w:style>
  <w:style w:type="paragraph" w:styleId="Style26">
    <w:name w:val="Body text"/>
    <w:basedOn w:val="Normal"/>
    <w:link w:val="CharStyle27"/>
    <w:qFormat/>
    <w:pPr>
      <w:widowControl w:val="0"/>
      <w:shd w:val="clear" w:color="auto" w:fill="auto"/>
      <w:spacing w:line="27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Jizzax16.05.2025.pdf</dc:title>
  <dc:subject/>
  <dc:creator/>
  <cp:keywords/>
</cp:coreProperties>
</file>